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新北市聲音照相管理平台使用說明書</w:t>
      </w:r>
    </w:p>
    <w:p>
      <w:pPr>
        <w:pStyle w:val="Subtitle"/>
      </w:pPr>
      <w:r>
        <w:t>外勤回報與成果作業整合版 v3.0</w:t>
      </w:r>
    </w:p>
    <w:p>
      <w:r>
        <w:t>聯韻聲學環保顧問股份有限公司</w:t>
        <w:br/>
        <w:t>2026年9月25日</w:t>
      </w:r>
    </w:p>
    <w:p>
      <w:r>
        <w:t>本手冊供外勤、成果製作同仁及平台管理者使用。所有作業以同一場次識別碼接續：外勤先回報，內勤判斷是否認列，再完成成果數據及案件匯入。平台會持續更新分析，並列出待補資料與成果差異。</w:t>
      </w:r>
    </w:p>
    <w:p>
      <w:pPr>
        <w:pStyle w:val="Heading2"/>
      </w:pPr>
      <w:r>
        <w:t>一分鐘掌握作業流程</w:t>
      </w:r>
    </w:p>
    <w:p>
      <w:r>
        <w:t>外勤回報 → 場次認列 → 成果製作 → 案件匯入 → 分析與勾稽。遇雨取消、機況異常等紀錄保留在場次表，認列為否後不計入成果完成統計。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4032"/>
        <w:gridCol w:w="4032"/>
      </w:tblGrid>
      <w:tr>
        <w:trPr>
          <w:cantSplit/>
          <w:tblHeader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角色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主要工作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操作入口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外勤人員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新增回報、查閱資料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外勤與成果流程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成果製作同仁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認列場次、登錄成果、匯入案件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外勤與成果流程／資料匯入與設定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管理者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串接設定、同步衝突處理、備份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資料匯入與設定／資料勾稽與待辦</w:t>
            </w:r>
          </w:p>
        </w:tc>
      </w:tr>
      <w:tr>
        <w:trPr>
          <w:cantSplit/>
        </w:trP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瀏覽者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查詢與閱讀分析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總覽與分析功能頁</w:t>
            </w:r>
          </w:p>
        </w:tc>
      </w:tr>
    </w:tbl>
    <w:p>
      <w:pPr>
        <w:spacing w:after="0"/>
      </w:pPr>
    </w:p>
    <w:p>
      <w:pPr>
        <w:pStyle w:val="Heading2"/>
      </w:pPr>
      <w:r>
        <w:t>先確認三個數字的差別</w:t>
      </w:r>
    </w:p>
    <w:p>
      <w:r>
        <w:t>外勤回報場次是已建立的紀錄數；可認列場次是經人員明確確認可以認列的紀錄數；成果完成場次則須同時滿足可認列及成果狀態為已完成。原有「是否完成」不會自動轉成認列通過。</w:t>
      </w:r>
    </w:p>
    <w:p>
      <w:r>
        <w:t>成果告發數與通檢數由場次成果填報；匯入告發案件與通檢案件則來自案件明細。兩種數據分開呈現及核對，不互相加總。金額採原始登錄值，平台不自行計算罰鍰。</w:t>
      </w:r>
    </w:p>
    <w:p>
      <w:pPr>
        <w:pStyle w:val="Heading2"/>
      </w:pPr>
      <w:r>
        <w:t>封包內容</w:t>
      </w:r>
    </w:p>
    <w:p>
      <w:r>
        <w:t>封包含完整Node.js程式、Docker部署檔、環境變數範例、Google表單串接程式、新版欄位樣板、使用說明書及測試程式。先完成第2至3頁設定，再由第4頁開始日常作業。</w:t>
      </w:r>
    </w:p>
    <w:p>
      <w:pPr>
        <w:pStyle w:val="Heading1"/>
      </w:pPr>
      <w:r>
        <w:t>部署與登入設定</w:t>
      </w:r>
    </w:p>
    <w:p>
      <w:r>
        <w:t>平台沿用Node.js與Express。Zeabur可使用封包中的Dockerfile部署，容器連接埠為8080。請將持久磁碟掛載至 /app/data，並以單一應用程式實例執行，保存場次、操作紀錄及待同步佇列。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52"/>
        <w:gridCol w:w="5184"/>
      </w:tblGrid>
      <w:tr>
        <w:trPr>
          <w:cantSplit/>
          <w:tblHeader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環境變數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填寫方式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DASHBOARD_ADMIN_TOKEN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管理者登入密碼，請自行設定。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DASHBOARD_EDITOR_TOKEN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成果同仁使用的編輯密碼。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DASHBOARD_FIELD_TOKEN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外勤回報專用密碼，不能認列或修改成果。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GOOGLE_SHEET_ID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彙整試算表網址中 /d/ 後、/edit 前的識別碼。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GOOGLE_SERVICE_ACCOUNT_JSON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Google服務帳號JSON原文或其Base64值。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GOOGLE_AUTO_SYNC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true啟用背景同步；false為手動同步。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GOOGLE_SYNC_INTERVAL_SECONDS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預設60秒，最低30秒。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DASHBOARD_DATA_FILE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Zeabur設為 /app/data/dashboard-cache.json。</w:t>
            </w:r>
          </w:p>
        </w:tc>
      </w:tr>
      <w:tr>
        <w:trPr>
          <w:cantSplit/>
        </w:trPr>
        <w:tc>
          <w:tcPr>
            <w:tcW w:type="dxa" w:w="47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TZ／PORT</w:t>
            </w:r>
          </w:p>
        </w:tc>
        <w:tc>
          <w:tcPr>
            <w:tcW w:type="dxa" w:w="51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Asia/Taipei／8080。</w:t>
            </w:r>
          </w:p>
        </w:tc>
      </w:tr>
    </w:tbl>
    <w:p>
      <w:pPr>
        <w:spacing w:after="0"/>
      </w:pPr>
    </w:p>
    <w:p>
      <w:pPr>
        <w:pStyle w:val="Heading2"/>
      </w:pPr>
      <w:r>
        <w:t>本機啟動</w:t>
      </w:r>
    </w:p>
    <w:p>
      <w:r>
        <w:t>安裝Node.js 20以上版本，於專案目錄執行 npm ci，再設定環境變數並執行 npm start。若使用 .env 檔，請以 node --env-file=.env server.js 啟動；單純複製 .env.example 並不會由 npm start 自動載入。</w:t>
      </w:r>
    </w:p>
    <w:p>
      <w:r>
        <w:t>本機的DASHBOARD_DATA_FILE可改成 ./data/dashboard-cache.json。瀏覽器開啟 http://localhost:8080，右上角「登入管理」輸入對應密碼。</w:t>
      </w:r>
    </w:p>
    <w:p>
      <w:pPr>
        <w:pStyle w:val="Heading2"/>
      </w:pPr>
      <w:r>
        <w:t>權限與上線範圍</w:t>
      </w:r>
    </w:p>
    <w:p>
      <w:r>
        <w:t>本版沿用共用角色密碼，操作人員姓名由表單填列，尚非個人帳號及單一登入系統。既有瀏覽模式可讀取案件資料；正式上線請使用內部網路或部署端存取限制，不宜直接公開含車牌資料的平台。</w:t>
      </w:r>
    </w:p>
    <w:p>
      <w:pPr>
        <w:pStyle w:val="Heading1"/>
      </w:pPr>
      <w:r>
        <w:t>Google Sheet與外勤表單設定</w:t>
      </w:r>
    </w:p>
    <w:p>
      <w:pPr>
        <w:pStyle w:val="Heading2"/>
      </w:pPr>
      <w:r>
        <w:t>連接彙整試算表</w:t>
      </w:r>
    </w:p>
    <w:p>
      <w:r>
        <w:t>1. 在Google Cloud啟用Google Sheets API並建立服務帳號；將彙整用試算表分享給該服務帳號email，授予編輯權限。</w:t>
      </w:r>
    </w:p>
    <w:p>
      <w:r>
        <w:t>2. 在部署環境設定試算表ID及服務帳號JSON，設定GOOGLE_AUTO_SYNC=true，重新啟動平台。</w:t>
      </w:r>
    </w:p>
    <w:p>
      <w:r>
        <w:t>3. 登入管理後，按「測試Sheet連線」，再按「從Sheet更新」。若既有Sheet已有資料，先核對筆數；若是空白Sheet，按「同步到Sheet」將現有平台紀錄加入。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3888"/>
        <w:gridCol w:w="3888"/>
      </w:tblGrid>
      <w:tr>
        <w:trPr>
          <w:cantSplit/>
          <w:tblHeader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工作表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用途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名稱設定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執行成效資料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外勤、認列及成果沿用同一列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GOOGLE_SHEET_RAW_NAME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車輛案件資料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每一筆告發或通檢案件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GOOGLE_SHEET_VEHICLE_NAME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百大點位清冊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建議點位及座標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GOOGLE_SHEET_TOP100_NAME</w:t>
            </w:r>
          </w:p>
        </w:tc>
      </w:tr>
    </w:tbl>
    <w:p>
      <w:pPr>
        <w:spacing w:after="0"/>
      </w:pPr>
    </w:p>
    <w:p>
      <w:pPr>
        <w:pStyle w:val="Heading2"/>
      </w:pPr>
      <w:r>
        <w:t>建立Google外勤表單</w:t>
      </w:r>
    </w:p>
    <w:p>
      <w:r>
        <w:t>4. 開啟同一本Google Sheet的「擴充功能 → Apps Script」，貼入封包 integrations/GoogleFormBridge.gs，儲存。若場次工作表已改名，先修改程式中的RAW_NAME。</w:t>
      </w:r>
    </w:p>
    <w:p>
      <w:r>
        <w:t>5. 執行 installFieldForm 並完成Google授權。程式會建立表單與提交觸發條件；在執行記錄取得外勤填寫網址及表單編輯網址，依團隊需要設定填答權限。</w:t>
      </w:r>
    </w:p>
    <w:p>
      <w:r>
        <w:t>6. 送出一筆測試回報，確認原始表單回應仍保留，且執行成效資料新增一列。平台下個同步週期讀入，再由內勤接續處理。</w:t>
      </w:r>
    </w:p>
    <w:p>
      <w:r>
        <w:t>表單提交失敗時，原始回應仍在Google Sheet。修正問題後執行 retryRecentSubmissions，重新檢查各回應表最近100筆；同一回應不會重複新增。不要在Google表單重新送出同一場次來修正資料，請改由平台修正原紀錄。</w:t>
      </w:r>
    </w:p>
    <w:p>
      <w:r>
        <w:t>本版提供串接程式與同步接口，Google正式帳號需由管理者完成授權及測試。Sheets API沒有逐列交易鎖；內勤以平台編輯為主，避免與Sheet編輯者同時修改同一列。</w:t>
      </w:r>
    </w:p>
    <w:p>
      <w:pPr>
        <w:pStyle w:val="Heading1"/>
      </w:pPr>
      <w:r>
        <w:t>外勤回報與資料接續</w:t>
      </w:r>
    </w:p>
    <w:p>
      <w:pPr>
        <w:pStyle w:val="Heading2"/>
      </w:pPr>
      <w:r>
        <w:t>使用手機或電腦回報</w:t>
      </w:r>
    </w:p>
    <w:p>
      <w:r>
        <w:t>1. 登入外勤或編輯權限，選「外勤與成果流程」，按「＋外勤回報」。也可使用第3頁建立的Google表單。</w:t>
      </w:r>
    </w:p>
    <w:p>
      <w:r>
        <w:t>2. 填架設日期、機台、行政區、地址、回報人員、架設來源、擇點原因、天候及機況。可補充陳情編號、時段、百大編號、座標與佐證網址。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60"/>
        <w:gridCol w:w="7776"/>
      </w:tblGrid>
      <w:tr>
        <w:trPr>
          <w:cantSplit/>
          <w:tblHeader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欄位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填寫原則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架設來源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填百大、議員、市政信箱、配合警方、民眾陳情等主要來源。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擇點原因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說明選點依據，例如陳情集中、重複車輛或百大監測缺口。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天候與機況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遇雨取消及機況異常應如實填列，等待內勤認列。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開始與結束時間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包含完整日期與時間；跨夜及72H作業必須填正確結束日期。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百大點位編號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與百大清冊完全一致，避免地址寫法不同而拆分。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經緯度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採WGS84十進位座標；定位帶入後確認為實際架設位置。</w:t>
            </w:r>
          </w:p>
        </w:tc>
      </w:tr>
      <w:tr>
        <w:trPr>
          <w:cantSplit/>
        </w:trPr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佐證連結</w:t>
            </w:r>
          </w:p>
        </w:tc>
        <w:tc>
          <w:tcPr>
            <w:tcW w:type="dxa" w:w="77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填成果或現場資料的http／https網址，檔案仍在原有儲存位置。</w:t>
            </w:r>
          </w:p>
        </w:tc>
      </w:tr>
    </w:tbl>
    <w:p>
      <w:pPr>
        <w:spacing w:after="0"/>
      </w:pPr>
    </w:p>
    <w:p>
      <w:r>
        <w:t>3. 按「送出外勤回報」。平台保存後顯示場次識別碼；Sheet未連線時標示待同步，恢復連線後再送出。</w:t>
      </w:r>
    </w:p>
    <w:p>
      <w:pPr>
        <w:pStyle w:val="Heading2"/>
      </w:pPr>
      <w:r>
        <w:t>同一場次只建立一次</w:t>
      </w:r>
    </w:p>
    <w:p>
      <w:r>
        <w:t>平台回報識別碼以F-開頭；Google表單回報以F-GOOGLE-開頭；既有場次轉換為S-年度-場次編號。案件表「場次編號」填入這個完整識別碼，能避免跨年或同點位重複架設時對錯場次。</w:t>
      </w:r>
    </w:p>
    <w:p>
      <w:r>
        <w:t>同日、同機台、同點位與相同時段再次提交時，平台會要求先查既有紀錄。Google表單不同回應仍可能是同一勤務，內勤應核對。要修正外勤內容，由編輯者點該場次「接續處理 → 外勤紀錄」。</w:t>
      </w:r>
    </w:p>
    <w:p>
      <w:pPr>
        <w:pStyle w:val="Heading1"/>
      </w:pPr>
      <w:r>
        <w:t>場次認列與成果製作</w:t>
      </w:r>
    </w:p>
    <w:p>
      <w:pPr>
        <w:pStyle w:val="Heading2"/>
      </w:pPr>
      <w:r>
        <w:t>先認列再製作成果</w:t>
      </w:r>
    </w:p>
    <w:p>
      <w:r>
        <w:t>1. 由編輯者選「外勤與成果流程 → 待認列」，點場次的「接續處理」，展開「場次認列」。</w:t>
      </w:r>
    </w:p>
    <w:p>
      <w:r>
        <w:t>2. 選可認列或不認列，填認列人員及必要備註。選不認列時必須填遇雨取消、機況異常、佐證不完整或其他原因。</w:t>
      </w:r>
    </w:p>
    <w:p>
      <w:r>
        <w:t>紀錄仍為「遇雨取消」或「機況異常」時，平台不接受直接改成可認列。若原紀錄填錯，先查核及修正；一般「降雨」紀錄保留人工判斷，不由系統自動判定是否符合契約認列條件。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4032"/>
        <w:gridCol w:w="3888"/>
      </w:tblGrid>
      <w:tr>
        <w:trPr>
          <w:cantSplit/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狀態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納入何種統計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下一步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待認列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外勤回報數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內勤查核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不認列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外勤回報數及不認列原因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保留紀錄供追溯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待製作成果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可認列場次數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填寫成果數據</w:t>
            </w:r>
          </w:p>
        </w:tc>
      </w:tr>
      <w:tr>
        <w:trPr>
          <w:cantSplit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成果完成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可認列及成果完成統計</w:t>
            </w:r>
          </w:p>
        </w:tc>
        <w:tc>
          <w:tcPr>
            <w:tcW w:type="dxa" w:w="38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匯入案件並檢查差異</w:t>
            </w:r>
          </w:p>
        </w:tc>
      </w:tr>
    </w:tbl>
    <w:p>
      <w:pPr>
        <w:spacing w:after="0"/>
      </w:pPr>
    </w:p>
    <w:p>
      <w:pPr>
        <w:pStyle w:val="Heading2"/>
      </w:pPr>
      <w:r>
        <w:t>完成場次成果</w:t>
      </w:r>
    </w:p>
    <w:p>
      <w:r>
        <w:t>3. 認列為可認列後，展開「製作成果」，填車辨數、系統超標數、告發數、通檢數、登錄告發金額及成果人員。無案件或無金額時明確填0。</w:t>
      </w:r>
    </w:p>
    <w:p>
      <w:r>
        <w:t>4. 尚未核對完畢選「製作中」；數據確認後選「已完成」，按儲存。平台更新成果統計並排入Sheet同步。</w:t>
      </w:r>
    </w:p>
    <w:p>
      <w:r>
        <w:t>所有成果數字須為非負整數；系統超標數不得大於車辨數，告發加通檢不得大於系統超標數。數據關係不符時，先回頭核對來源，不能用空白代替0。</w:t>
      </w:r>
    </w:p>
    <w:p>
      <w:r>
        <w:t>已完成場次如改為不認列或待認列，會退出成果完成統計。既有數值保留供核對，再次認列後仍須重新確認成果完成。操作紀錄保留修改前後內容。</w:t>
      </w:r>
    </w:p>
    <w:p>
      <w:pPr>
        <w:pStyle w:val="Heading1"/>
      </w:pPr>
      <w:r>
        <w:t>案件匯入與車輛資料維護</w:t>
      </w:r>
    </w:p>
    <w:p>
      <w:r>
        <w:t>1. 登入編輯權限，至「資料匯入與設定」下載新版匯入樣板。每筆告發或通檢案件各占一列，匯入車輛案件資料工作表。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488"/>
      </w:tblGrid>
      <w:tr>
        <w:trPr>
          <w:cantSplit/>
          <w:tblHeader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欄位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填寫方式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案件類型、車牌、日期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必要欄位；類型填告發或通檢，日期填量測日。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案件編號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優先採正式案號；同案號匯入會更新同筆紀錄。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場次編號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填對應的完整場次識別碼，確保案件與外勤成果可勾稽。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車種、廠牌、排放期別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採車籍或正式來源資料，不依車牌或車齡猜測。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出廠年月、車齡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有出廠年月時，以量測當月計算滿年；只有車齡時採登錄值。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金額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登錄案件金額；通檢金額為0。平台不自動決定罰鍰。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量測值、標準值、超標值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採既有案件資料；未另外提供超標值時，以量測值減標準值。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證據檢核、佐證連結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登錄人工檢核結果及資料網址，不由平台自動判定證據效力。</w:t>
            </w:r>
          </w:p>
        </w:tc>
      </w:tr>
    </w:tbl>
    <w:p>
      <w:pPr>
        <w:spacing w:after="0"/>
      </w:pPr>
    </w:p>
    <w:p>
      <w:r>
        <w:t>2. 選Excel／CSV／JSON，採「合併更新」，按「檢查匯入內容」。先核對資料表與筆數，再按「確認寫入以上資料」。</w:t>
      </w:r>
    </w:p>
    <w:p>
      <w:r>
        <w:t>3. 到「告發／通檢案件」查明細，在「車輛特徵分析」確認車齡、車種、期別、廠牌分布；缺漏可逐筆補登或再次匯入。</w:t>
      </w:r>
    </w:p>
    <w:p>
      <w:pPr>
        <w:pStyle w:val="Heading2"/>
      </w:pPr>
      <w:r>
        <w:t>更新與案件對應規則</w:t>
      </w:r>
    </w:p>
    <w:p>
      <w:r>
        <w:t>有案號依案號合併；無案號依類型、車牌、量測時間與完整點位合併。同筆紀錄請沿用相同識別欄位。一般欄位匯入空白會清空舊值；新增工作流程欄位空白則保留舊值。</w:t>
      </w:r>
    </w:p>
    <w:p>
      <w:r>
        <w:t>未填場次識別碼時，系統只在地址、日期與時段能唯一對應時連結；已填錯碼不再猜測其他場次。無法對應的案件列入待辦，不納入指定來源的分析。匯入案件不會自動改寫已完成的場次成果。</w:t>
      </w:r>
    </w:p>
    <w:p>
      <w:pPr>
        <w:pStyle w:val="Heading1"/>
      </w:pPr>
      <w:r>
        <w:t>分析成果與點位決策</w:t>
      </w:r>
    </w:p>
    <w:p>
      <w:r>
        <w:t>上方日期、行政區、來源及關鍵字適用於各分析頁；可快速選最新資料月份或資料末日起往前90日。「清除篩選」重設條件。場次採架設日，案件採量測日，跨夜勾稽宜涵蓋完整日期。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7488"/>
      </w:tblGrid>
      <w:tr>
        <w:trPr>
          <w:cantSplit/>
          <w:tblHeader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功能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閱讀與使用方式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執行成效總覽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查看回報、認列與成果進度，以及成果數據、匯入案件和待補提醒。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行政區分析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比較各區回報、認列、完成成果、車辨、告發、通檢及登錄金額。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點位架設來源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查看百大、議員、市政信箱、警方等來源占比，另列擇點原因。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高風險路段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依成果告發數排序，並列每千輛告發、匯入案件及重複車牌。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百大點位使用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查架設頻率、最近使用日期、直接使用及鄰近監測涵蓋。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車輛特徵分析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查車齡、車種、期別、廠牌，以及各案特徵缺漏。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時段與重複車輛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查24小時、星期分布及同車跨路段紀錄，供排場參考。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資料勾稽與待辦</w:t>
            </w:r>
          </w:p>
        </w:tc>
        <w:tc>
          <w:tcPr>
            <w:tcW w:type="dxa" w:w="74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查成果與明細差額、未對應案件、不認列場次仍有案件等情形。</w:t>
            </w:r>
          </w:p>
        </w:tc>
      </w:tr>
    </w:tbl>
    <w:p>
      <w:pPr>
        <w:spacing w:after="0"/>
      </w:pPr>
    </w:p>
    <w:p>
      <w:pPr>
        <w:pStyle w:val="Heading2"/>
      </w:pPr>
      <w:r>
        <w:t>分析指標的分母</w:t>
      </w:r>
    </w:p>
    <w:p>
      <w:r>
        <w:t>每千輛告發＝完成成果告發數 ÷ 相同路段完成成果車辨數 × 1,000。沒有車流分母時不計算；未滿3場標示樣本不足，此門檻為平台比較提示，不是法定標準。</w:t>
      </w:r>
    </w:p>
    <w:p>
      <w:r>
        <w:t>百大使用頻率＝該點位回報場次 ÷ 篩選範圍全部回報場次。監測涵蓋另以可認列場次計算：相同百大編號或完整地址視為直接使用；有座標時可查看100、300、500或1,000公尺內的鄰近場次。</w:t>
      </w:r>
    </w:p>
    <w:p>
      <w:r>
        <w:t>鄰近涵蓋為座標直線距離，不能解讀為告示牌距離或法定執法有效範圍。缺少百大完整清冊或座標時，只顯示可核對的資料；小時分布亦不把缺時間案件歸入凌晨0時。</w:t>
      </w:r>
    </w:p>
    <w:p>
      <w:pPr>
        <w:pStyle w:val="Heading1"/>
      </w:pPr>
      <w:r>
        <w:t>同步衝突與日常維護</w:t>
      </w:r>
    </w:p>
    <w:p>
      <w:pPr>
        <w:pStyle w:val="Heading2"/>
      </w:pPr>
      <w:r>
        <w:t>查看同步狀態</w:t>
      </w:r>
    </w:p>
    <w:p>
      <w:r>
        <w:t>頁面同步列顯示連線設定、待同步筆數、衝突筆數、最後成功時間與錯誤。外勤、成果或案件保存後先寫入持久資料檔，再送Google Sheet；連線中斷時仍保留待送資料。瀏覽器另每60秒檢查新資料，編輯視窗開啟時暫停畫面自動更新。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056"/>
      </w:tblGrid>
      <w:tr>
        <w:trPr>
          <w:cantSplit/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遇到的情況</w:t>
            </w:r>
          </w:p>
        </w:tc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DCE6EE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處理方式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待同步持續增加</w:t>
            </w:r>
          </w:p>
        </w:tc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檢查服務帳號權限、API啟用、環境變數與錯誤文字；恢復後立即同步。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平台與Sheet同筆皆變動</w:t>
            </w:r>
          </w:p>
        </w:tc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到資料勾稽與待辦查看兩版本；管理者選採平台或Sheet，再同步。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成果告發數大於明細</w:t>
            </w:r>
          </w:p>
        </w:tc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查是否案件尚未匯入、場次碼缺漏，或日期篩選未涵蓋跨夜案件。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場次改為不認列仍有案件</w:t>
            </w:r>
          </w:p>
        </w:tc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查原認列與案件對應，保留紀錄並由人員處理，不自動刪除案件。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原有資料顯示待認列</w:t>
            </w:r>
          </w:p>
        </w:tc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FFFFF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補填認列欄位；原「完成」與新認列不同，未自行推定。</w:t>
            </w:r>
          </w:p>
        </w:tc>
      </w:tr>
      <w:tr>
        <w:trPr>
          <w:cantSplit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Sheet刪列又出現資料</w:t>
            </w:r>
          </w:p>
        </w:tc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F5F7F8"/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刪列不是平台的刪除指令；本版以合併保存為主，不自動傳播刪除。</w:t>
            </w:r>
          </w:p>
        </w:tc>
      </w:tr>
    </w:tbl>
    <w:p>
      <w:pPr>
        <w:spacing w:after="0"/>
      </w:pPr>
    </w:p>
    <w:p>
      <w:pPr>
        <w:pStyle w:val="Heading2"/>
      </w:pPr>
      <w:r>
        <w:t>備份與匯出</w:t>
      </w:r>
    </w:p>
    <w:p>
      <w:r>
        <w:t>每日作業完成及每次部署前，下載JSON完整備份。JSON包含資料、操作紀錄及同步佇列；Excel提供資料表與分析工作表。操作紀錄畫面顯示最近200筆，完整紀錄留在JSON備份。CSV只匯出目前功能清單；列印會納入符合條件的完整清單。</w:t>
      </w:r>
    </w:p>
    <w:p>
      <w:r>
        <w:t>Google連線模式禁止整表取代匯入，避免移除未列出的雲端資料。需要完整災難還原時，由管理者停止服務、備份現有資料檔，再用JSON備份替換DASHBOARD_DATA_FILE所指檔案並重啟；一般JSON匯入僅處理三張資料表，不還原操作歷史。</w:t>
      </w:r>
    </w:p>
    <w:p>
      <w:r>
        <w:t>請固定由同一服務實例寫入。多人在Sheet及平台同時修改同列，仍可能遇到讀取與寫入間的時間差；平台可攔截已偵測的版本衝突，無法取代資料庫交易鎖。</w:t>
      </w:r>
    </w:p>
    <w:p>
      <w:pPr>
        <w:pStyle w:val="Heading1"/>
      </w:pPr>
      <w:r>
        <w:t>參考作法與交付驗收</w:t>
      </w:r>
    </w:p>
    <w:p>
      <w:pPr>
        <w:pStyle w:val="Heading2"/>
      </w:pPr>
      <w:r>
        <w:t>本版採納的實務方向</w:t>
      </w:r>
    </w:p>
    <w:p>
      <w:r>
        <w:t>臺北市以民眾通報熱區、固定與移動式設備及跨機關稽查安排勤務。本版據此強化來源、擇點原因及路段成效的追溯；未直接套用其他縣市的裁罰規則。</w:t>
      </w:r>
    </w:p>
    <w:p>
      <w:r>
        <w:t>澳洲新南威爾斯州公布的噪音攝影試辦資料，分析了事件的小時、週末及重複車輛特性。本版納入小時、星期與跨路段重複車輛分析；沒有把澳洲試辦結果當成新北市發生比例。</w:t>
      </w:r>
    </w:p>
    <w:p>
      <w:r>
        <w:t>英國政府對噪音攝影試辦的說明強調人工審查證據。本版保留人員認列、證據檢核文字、佐證連結及修改紀錄；不自動認定改裝、違規或累犯。</w:t>
      </w:r>
    </w:p>
    <w:p>
      <w:pPr>
        <w:pStyle w:val="Heading2"/>
      </w:pPr>
      <w:r>
        <w:t>管理者首次驗收</w:t>
      </w:r>
    </w:p>
    <w:p>
      <w:r>
        <w:t>1. 建立一筆標示測試的外勤回報，核對Sheet與平台的場次識別碼一致。</w:t>
      </w:r>
    </w:p>
    <w:p>
      <w:r>
        <w:t>2. 測試不認列原因，再以另一筆可認列測試場次完成成果；確認狀態與統計更新。</w:t>
      </w:r>
    </w:p>
    <w:p>
      <w:r>
        <w:t>3. 匯入對應案件，確認車籍分析及成果差額；測試重複匯入不增加同案號筆數。</w:t>
      </w:r>
    </w:p>
    <w:p>
      <w:r>
        <w:t>4. 測試同步中斷後重試、版本衝突及JSON備份。正式使用前清楚區分測試與正式資料。</w:t>
      </w:r>
    </w:p>
    <w:p>
      <w:r>
        <w:t>交付測試包含本機資料流程、統計、匯入匯出、同步模擬與瀏覽器操作。正式Google Sheet／表單、LINE及AI服務需配置各自帳號或憑證後另作連線驗收。本封包未代為部署正式服務。</w:t>
      </w:r>
    </w:p>
    <w:p>
      <w:pPr>
        <w:pStyle w:val="Heading2"/>
      </w:pPr>
      <w:r>
        <w:t>公開來源</w:t>
      </w:r>
    </w:p>
    <w:p>
      <w:pPr>
        <w:spacing w:after="100"/>
      </w:pPr>
      <w:hyperlink r:id="rId10">
        <w:r>
          <w:rPr>
            <w:color w:val="174B69"/>
            <w:sz w:val="19"/>
          </w:rPr>
          <w:t>臺北市環保局 115年1月28日 靜城專案與噪音車陳情</w:t>
        </w:r>
      </w:hyperlink>
    </w:p>
    <w:p>
      <w:pPr>
        <w:spacing w:after="100"/>
      </w:pPr>
      <w:hyperlink r:id="rId11">
        <w:r>
          <w:rPr>
            <w:color w:val="174B69"/>
            <w:sz w:val="19"/>
          </w:rPr>
          <w:t>NSW Government 2026年3月24日 Noise camera trial results</w:t>
        </w:r>
      </w:hyperlink>
    </w:p>
    <w:p>
      <w:pPr>
        <w:spacing w:after="100"/>
      </w:pPr>
      <w:hyperlink r:id="rId12">
        <w:r>
          <w:rPr>
            <w:color w:val="174B69"/>
            <w:sz w:val="19"/>
          </w:rPr>
          <w:t>UK Parliament 2025年10月20日 Road Traffic Noise答覆</w:t>
        </w:r>
      </w:hyperlink>
    </w:p>
    <w:p>
      <w:pPr>
        <w:spacing w:after="100"/>
      </w:pPr>
      <w:hyperlink r:id="rId13">
        <w:r>
          <w:rPr>
            <w:color w:val="174B69"/>
            <w:sz w:val="19"/>
          </w:rPr>
          <w:t>Google Sheets API 批次更新與Apps Script可安裝觸發條件</w:t>
        </w:r>
      </w:hyperlink>
    </w:p>
    <w:p>
      <w:r>
        <w:t>來源查閱日期：2026年9月25日。外部做法僅作平台功能設計參考；實際認列與執法仍由作業人員依本案規範查核。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8" w:lineRule="auto"/>
    </w:pPr>
    <w:rPr>
      <w:rFonts w:ascii="Times New Roman" w:hAnsi="Times New Roman" w:eastAsia="Noto Serif T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480" w:after="140"/>
      <w:outlineLvl w:val="0"/>
    </w:pPr>
    <w:rPr>
      <w:rFonts w:cstheme="majorBidi" w:ascii="Times New Roman" w:hAnsi="Times New Roman" w:eastAsia="Noto Serif TC"/>
      <w:b/>
      <w:bCs/>
      <w:color w:val="00000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cstheme="majorBidi" w:ascii="Times New Roman" w:hAnsi="Times New Roman" w:eastAsia="Noto Serif T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cstheme="majorBidi" w:ascii="Times New Roman" w:hAnsi="Times New Roman" w:eastAsia="Noto Serif T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cstheme="majorBidi" w:ascii="Times New Roman" w:hAnsi="Times New Roman" w:eastAsia="Noto Serif TC"/>
      <w:b w:val="0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ldep.gov.taipei/public/News/TpeDep_Detail.aspx?SN=9532628" TargetMode="External"/><Relationship Id="rId11" Type="http://schemas.openxmlformats.org/officeDocument/2006/relationships/hyperlink" Target="https://www.nsw.gov.au/ministerial-releases/minns-government-takes-next-steps-car-and-motorcycle-hoon-crackdown" TargetMode="External"/><Relationship Id="rId12" Type="http://schemas.openxmlformats.org/officeDocument/2006/relationships/hyperlink" Target="https://questions-statements.parliament.uk/written-questions/detail/2025-10-10/80416/" TargetMode="External"/><Relationship Id="rId13" Type="http://schemas.openxmlformats.org/officeDocument/2006/relationships/hyperlink" Target="https://developers.google.com/apps-script/guides/triggers/installa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新北市聲音照相管理平台使用說明書</dc:title>
  <dc:subject/>
  <dc:creator>聯韻聲學環保顧問股份有限公司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cp:version>3.0</cp:version>
</cp:coreProperties>
</file>